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07" w:rsidRDefault="00766B07"/>
    <w:p w:rsidR="007F7D52" w:rsidRPr="007F7D52" w:rsidRDefault="007F7D52" w:rsidP="007F7D52">
      <w:pPr>
        <w:tabs>
          <w:tab w:val="left" w:pos="0"/>
          <w:tab w:val="left" w:pos="1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Приложение № </w:t>
      </w:r>
      <w:r w:rsidR="005726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</w:p>
    <w:p w:rsidR="007F7D52" w:rsidRDefault="007F7D52" w:rsidP="00572634">
      <w:pPr>
        <w:tabs>
          <w:tab w:val="left" w:pos="0"/>
          <w:tab w:val="left" w:pos="1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към чл. </w:t>
      </w:r>
      <w:r w:rsidR="005726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17, ал. 6</w:t>
      </w:r>
    </w:p>
    <w:p w:rsidR="00572634" w:rsidRPr="007F7D52" w:rsidRDefault="00572634" w:rsidP="00572634">
      <w:pPr>
        <w:tabs>
          <w:tab w:val="left" w:pos="0"/>
          <w:tab w:val="left" w:pos="1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F7D52" w:rsidRPr="007F7D52" w:rsidRDefault="007F7D52" w:rsidP="007F7D52">
      <w:pPr>
        <w:tabs>
          <w:tab w:val="left" w:pos="0"/>
          <w:tab w:val="left" w:pos="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Изчисляване на икономическата ефективност и ефикасност за жизнения цикъл на технически решения за съхранение на енергията в сгради</w:t>
      </w:r>
    </w:p>
    <w:p w:rsidR="007F7D52" w:rsidRPr="007F7D52" w:rsidRDefault="007F7D52" w:rsidP="007F7D52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7D52" w:rsidRPr="007F7D52" w:rsidRDefault="007F7D52" w:rsidP="007F7D52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 Оценката за икономическа ефективност и ефикасност на технически решения за съхранение на енергия в сгради представлява последователност от изчисляване на следните основни показатели:</w:t>
      </w:r>
    </w:p>
    <w:p w:rsidR="007F7D52" w:rsidRPr="007F7D52" w:rsidRDefault="007F7D52" w:rsidP="007F7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1.1. Разходи за разработване, въвеждане в експлоатация и експлоатация на техническото решение през жизнения му цикъл.</w:t>
      </w:r>
    </w:p>
    <w:p w:rsidR="007F7D52" w:rsidRPr="007F7D52" w:rsidRDefault="007F7D52" w:rsidP="007F7D52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Приходи от експлоатацията на техническото решение.</w:t>
      </w:r>
    </w:p>
    <w:p w:rsidR="007F7D52" w:rsidRPr="007F7D52" w:rsidRDefault="007F7D52" w:rsidP="007F7D52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1.3. Прост срок на откупуване на инвестициите.</w:t>
      </w:r>
    </w:p>
    <w:p w:rsidR="007F7D52" w:rsidRPr="007F7D52" w:rsidRDefault="007F7D52" w:rsidP="007F7D52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1.4. Срок на изплащане на инвестициите.</w:t>
      </w:r>
    </w:p>
    <w:p w:rsidR="007F7D52" w:rsidRPr="007F7D52" w:rsidRDefault="007F7D52" w:rsidP="007F7D52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1.5. Нетна настояща стойност.</w:t>
      </w:r>
    </w:p>
    <w:p w:rsidR="007F7D52" w:rsidRPr="007F7D52" w:rsidRDefault="007F7D52" w:rsidP="007F7D52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1.6. Вътрешна норма на възвръщаемост.</w:t>
      </w:r>
    </w:p>
    <w:p w:rsidR="007F7D52" w:rsidRPr="007F7D52" w:rsidRDefault="007F7D52" w:rsidP="007F7D52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1.7. Индекс на нетната настояща стойност.</w:t>
      </w:r>
    </w:p>
    <w:p w:rsidR="007F7D52" w:rsidRPr="007F7D52" w:rsidRDefault="007F7D52" w:rsidP="007F7D52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Разходите за разработване, въвеждане в експлоатация и експлоатация на техническото решение през жизнения му цикъл включват:</w:t>
      </w:r>
    </w:p>
    <w:p w:rsidR="007F7D52" w:rsidRPr="007F7D52" w:rsidRDefault="007F7D52" w:rsidP="007F7D5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2.1. Разходи до началото на експлоатационния период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(I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а) разходи за проектиране;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б) разходи за съгласуване и одобряване на инвестиционния проект;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в) разходи за издаване на разрешение за строеж;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г) разходи за закупуване, доставка, монтаж/изграждане, пуск и настройка на оборудването;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д) разходи за въвеждане в експлоатация.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2.2. Експлоатационни разходи: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а) разходи за енергия;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б) други експлоатационни разходи: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 за материали;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 за поддръжка.</w:t>
      </w:r>
    </w:p>
    <w:p w:rsidR="007F7D52" w:rsidRPr="007F7D52" w:rsidRDefault="007F7D52" w:rsidP="007F7D52">
      <w:pPr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3. Нетните п</w:t>
      </w:r>
      <w:r w:rsidRPr="007F7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риходи от експлоатацията на техническото решение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се изчисляват по формулата: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F7D52" w:rsidRPr="007F7D52" w:rsidRDefault="007F7D52" w:rsidP="007F7D52">
      <w:pPr>
        <w:spacing w:after="0" w:line="360" w:lineRule="auto"/>
        <w:ind w:left="2268"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noProof/>
          <w:color w:val="000000"/>
          <w:position w:val="-38"/>
          <w:sz w:val="24"/>
          <w:szCs w:val="24"/>
          <w:lang w:eastAsia="bg-BG"/>
        </w:rPr>
        <w:drawing>
          <wp:inline distT="0" distB="0" distL="0" distR="0" wp14:anchorId="71866A5C" wp14:editId="4CAB475A">
            <wp:extent cx="1428750" cy="355600"/>
            <wp:effectExtent l="0" t="0" r="0" b="6350"/>
            <wp:docPr id="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C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</w:t>
      </w:r>
      <w:bookmarkStart w:id="0" w:name="_GoBack"/>
      <w:bookmarkEnd w:id="0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7263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.1),</w:t>
      </w:r>
    </w:p>
    <w:p w:rsidR="007F7D52" w:rsidRPr="007F7D52" w:rsidRDefault="007F7D52" w:rsidP="007F7D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където: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 xml:space="preserve">              </w:t>
      </w:r>
    </w:p>
    <w:p w:rsidR="007F7D52" w:rsidRPr="007F7D52" w:rsidRDefault="007F7D52" w:rsidP="007F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B са нетните годишни приходи, лв./годишно;</w:t>
      </w:r>
    </w:p>
    <w:p w:rsidR="007F7D52" w:rsidRPr="007F7D52" w:rsidRDefault="007F7D52" w:rsidP="007F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S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bg-BG"/>
        </w:rPr>
        <w:t>i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спестената енергия с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i-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тия енергоносител за една година, kWh/годишно;</w:t>
      </w:r>
    </w:p>
    <w:p w:rsidR="007F7D52" w:rsidRPr="007F7D52" w:rsidRDefault="007F7D52" w:rsidP="007F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Е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bg-BG"/>
        </w:rPr>
        <w:t>i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цената на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i-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тия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e</w:t>
      </w:r>
      <w:proofErr w:type="spellStart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нергоносител</w:t>
      </w:r>
      <w:proofErr w:type="spellEnd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лв./kWh;</w:t>
      </w:r>
    </w:p>
    <w:p w:rsidR="007F7D52" w:rsidRPr="007F7D52" w:rsidRDefault="007F7D52" w:rsidP="007F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∆O&amp;M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промяната в разходите за експлоатация и поддръжка (+ или -)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резултат на въвеждането в експлоатация на техническото решение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лв</w:t>
      </w:r>
      <w:proofErr w:type="gramStart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./</w:t>
      </w:r>
      <w:proofErr w:type="gramEnd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годишно.</w:t>
      </w:r>
    </w:p>
    <w:p w:rsidR="007F7D52" w:rsidRPr="007F7D52" w:rsidRDefault="007F7D52" w:rsidP="007F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Pr="007F7D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Срок на откупуване (РВ)</w:t>
      </w:r>
    </w:p>
    <w:p w:rsidR="007F7D52" w:rsidRPr="007F7D52" w:rsidRDefault="007F7D52" w:rsidP="007F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равни спестявания през годините на жизнения цикъл срокът на откупуване (РВ) се изчислява по формулата:</w:t>
      </w:r>
    </w:p>
    <w:p w:rsidR="007F7D52" w:rsidRPr="007F7D52" w:rsidRDefault="007F7D52" w:rsidP="007F7D52">
      <w:pPr>
        <w:spacing w:after="0" w:line="360" w:lineRule="auto"/>
        <w:ind w:left="2268"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bg-BG"/>
        </w:rPr>
        <w:drawing>
          <wp:inline distT="0" distB="0" distL="0" distR="0" wp14:anchorId="61DD3251" wp14:editId="7DE03978">
            <wp:extent cx="520700" cy="330200"/>
            <wp:effectExtent l="0" t="0" r="0" b="0"/>
            <wp:docPr id="4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7263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.2),</w:t>
      </w:r>
    </w:p>
    <w:p w:rsidR="007F7D52" w:rsidRPr="007F7D52" w:rsidRDefault="007F7D52" w:rsidP="007F7D52">
      <w:pPr>
        <w:spacing w:after="0" w:line="360" w:lineRule="auto"/>
        <w:ind w:left="2268" w:firstLine="612"/>
        <w:jc w:val="both"/>
        <w:rPr>
          <w:rFonts w:ascii="Times New Roman" w:eastAsia="Times New Roman" w:hAnsi="Times New Roman" w:cs="Times New Roman"/>
          <w:color w:val="000000"/>
          <w:position w:val="-46"/>
          <w:sz w:val="24"/>
          <w:szCs w:val="24"/>
          <w:lang w:eastAsia="bg-BG"/>
        </w:rPr>
      </w:pPr>
    </w:p>
    <w:p w:rsidR="007F7D52" w:rsidRPr="007F7D52" w:rsidRDefault="007F7D52" w:rsidP="007F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position w:val="-46"/>
          <w:sz w:val="24"/>
          <w:szCs w:val="24"/>
          <w:lang w:eastAsia="bg-BG"/>
        </w:rPr>
        <w:t>където:</w:t>
      </w:r>
    </w:p>
    <w:p w:rsidR="007F7D52" w:rsidRPr="007F7D52" w:rsidRDefault="007F7D52" w:rsidP="007F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I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0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са разходите до началото на експлоатационния период, лв.;</w:t>
      </w:r>
    </w:p>
    <w:p w:rsidR="007F7D52" w:rsidRPr="007F7D52" w:rsidRDefault="007F7D52" w:rsidP="007F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B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proofErr w:type="gramStart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нетните</w:t>
      </w:r>
      <w:proofErr w:type="gramEnd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годишни спестявания, лв./годишно.</w:t>
      </w:r>
    </w:p>
    <w:p w:rsidR="007F7D52" w:rsidRPr="007F7D52" w:rsidRDefault="007F7D52" w:rsidP="007F7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5.</w:t>
      </w:r>
      <w:r w:rsidRPr="007F7D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Нетната настояща стойност (NPV) се изчислява по формулата: </w:t>
      </w:r>
    </w:p>
    <w:p w:rsidR="007F7D52" w:rsidRPr="007F7D52" w:rsidRDefault="007F7D52" w:rsidP="007F7D52">
      <w:pPr>
        <w:spacing w:after="0" w:line="360" w:lineRule="auto"/>
        <w:ind w:left="2268"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noProof/>
          <w:color w:val="000000"/>
          <w:position w:val="-38"/>
          <w:sz w:val="24"/>
          <w:szCs w:val="24"/>
          <w:lang w:eastAsia="bg-BG"/>
        </w:rPr>
        <w:drawing>
          <wp:inline distT="0" distB="0" distL="0" distR="0" wp14:anchorId="1E09ADF4" wp14:editId="746318C5">
            <wp:extent cx="1397000" cy="546100"/>
            <wp:effectExtent l="0" t="0" r="0" b="6350"/>
            <wp:docPr id="4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7263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.3),</w:t>
      </w:r>
    </w:p>
    <w:p w:rsidR="007F7D52" w:rsidRPr="007F7D52" w:rsidRDefault="007F7D52" w:rsidP="007F7D52">
      <w:pPr>
        <w:spacing w:after="0" w:line="360" w:lineRule="auto"/>
        <w:ind w:left="90"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position w:val="-46"/>
          <w:sz w:val="24"/>
          <w:szCs w:val="24"/>
          <w:lang w:eastAsia="bg-BG"/>
        </w:rPr>
        <w:t>където:</w:t>
      </w:r>
    </w:p>
    <w:p w:rsidR="007F7D52" w:rsidRPr="007F7D52" w:rsidRDefault="007F7D52" w:rsidP="007F7D52">
      <w:pPr>
        <w:spacing w:after="0" w:line="360" w:lineRule="auto"/>
        <w:ind w:left="1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r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е реалният лихвен процент, %;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изчислява се по формулата:</w:t>
      </w:r>
    </w:p>
    <w:p w:rsidR="007F7D52" w:rsidRPr="007F7D52" w:rsidRDefault="007F7D52" w:rsidP="007F7D52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bg-BG"/>
        </w:rPr>
        <w:t xml:space="preserve">                   </w:t>
      </w:r>
      <w:r w:rsidRPr="007F7D52"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bg-BG"/>
        </w:rPr>
        <w:drawing>
          <wp:inline distT="0" distB="0" distL="0" distR="0" wp14:anchorId="18BA2113" wp14:editId="379391C5">
            <wp:extent cx="577850" cy="330200"/>
            <wp:effectExtent l="0" t="0" r="0" b="0"/>
            <wp:docPr id="4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7F7D52" w:rsidRPr="007F7D52" w:rsidRDefault="007F7D52" w:rsidP="007F7D52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n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r</w:t>
      </w:r>
      <w:proofErr w:type="spellEnd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номиналният лихвен процент,%;</w:t>
      </w:r>
    </w:p>
    <w:p w:rsidR="007F7D52" w:rsidRPr="007F7D52" w:rsidRDefault="007F7D52" w:rsidP="007F7D52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b - годишната инфлация,%; </w:t>
      </w:r>
    </w:p>
    <w:p w:rsidR="007F7D52" w:rsidRPr="007F7D52" w:rsidRDefault="007F7D52" w:rsidP="007F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i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</w:t>
      </w:r>
      <w:proofErr w:type="spellEnd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нетните приходи за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i-</w:t>
      </w:r>
      <w:proofErr w:type="spellStart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тата</w:t>
      </w:r>
      <w:proofErr w:type="spellEnd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година от жизнения цикъл, лв./годишно;</w:t>
      </w:r>
    </w:p>
    <w:p w:rsidR="007F7D52" w:rsidRPr="007F7D52" w:rsidRDefault="007F7D52" w:rsidP="007F7D52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жизненият цикъл на техническото решение, години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7D52" w:rsidRPr="007F7D52" w:rsidRDefault="007F7D52" w:rsidP="007F7D52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/>
        </w:rPr>
        <w:t xml:space="preserve">0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разходите до началото на експлоатационния период, лв.</w:t>
      </w:r>
    </w:p>
    <w:p w:rsidR="007F7D52" w:rsidRPr="007F7D52" w:rsidRDefault="007F7D52" w:rsidP="007F7D5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  <w:r w:rsidRPr="007F7D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bg-BG"/>
        </w:rPr>
        <w:t>Проектът е рентабилен, ако NPV &gt; 0.</w:t>
      </w:r>
    </w:p>
    <w:p w:rsidR="007F7D52" w:rsidRPr="007F7D52" w:rsidRDefault="007F7D52" w:rsidP="007F7D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Ако нетните приходи са еднакви през годините на жизнения цикъл, т.е. ако B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1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= B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2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= =B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3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=….= </w:t>
      </w:r>
      <w:proofErr w:type="spellStart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B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n</w:t>
      </w:r>
      <w:proofErr w:type="spellEnd"/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 xml:space="preserve">,  , 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горната формула се опростява до вида:</w:t>
      </w:r>
    </w:p>
    <w:p w:rsidR="007F7D52" w:rsidRPr="007F7D52" w:rsidRDefault="00394C33" w:rsidP="007F7D52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3.05pt;margin-top:.7pt;width:127pt;height:36.7pt;z-index:251659264">
            <v:imagedata r:id="rId9" o:title=""/>
            <w10:wrap type="square"/>
          </v:shape>
          <o:OLEObject Type="Embed" ProgID="Equation.DSMT4" ShapeID="_x0000_s1026" DrawAspect="Content" ObjectID="_1728028138" r:id="rId10"/>
        </w:pict>
      </w:r>
    </w:p>
    <w:p w:rsidR="007F7D52" w:rsidRPr="007F7D52" w:rsidRDefault="007F7D52" w:rsidP="007F7D52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F7D52" w:rsidRPr="007F7D52" w:rsidRDefault="007F7D52" w:rsidP="007F7D52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F7D52" w:rsidRPr="007F7D52" w:rsidRDefault="007F7D52" w:rsidP="007F7D5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6. Коефициентът на н</w:t>
      </w:r>
      <w:r w:rsidRPr="007F7D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етна сегашна стойност (NPV</w:t>
      </w:r>
      <w:r w:rsidRPr="007F7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Q) се изчислява по формулата :</w:t>
      </w:r>
    </w:p>
    <w:p w:rsidR="007F7D52" w:rsidRPr="007F7D52" w:rsidRDefault="007F7D52" w:rsidP="007F7D52">
      <w:pPr>
        <w:spacing w:after="0" w:line="360" w:lineRule="auto"/>
        <w:ind w:left="2268"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noProof/>
          <w:color w:val="000000"/>
          <w:position w:val="-30"/>
          <w:sz w:val="24"/>
          <w:szCs w:val="24"/>
          <w:lang w:eastAsia="bg-BG"/>
        </w:rPr>
        <w:drawing>
          <wp:inline distT="0" distB="0" distL="0" distR="0" wp14:anchorId="334C116D" wp14:editId="08455ACB">
            <wp:extent cx="958850" cy="355600"/>
            <wp:effectExtent l="0" t="0" r="0" b="6350"/>
            <wp:docPr id="4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7263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</w:rPr>
        <w:t>.4).</w:t>
      </w:r>
    </w:p>
    <w:p w:rsidR="007F7D52" w:rsidRPr="007F7D52" w:rsidRDefault="007F7D52" w:rsidP="007F7D52">
      <w:pPr>
        <w:spacing w:after="0" w:line="360" w:lineRule="auto"/>
        <w:ind w:left="2268"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7F7D52" w:rsidRPr="007F7D52" w:rsidRDefault="007F7D52" w:rsidP="007F7D5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7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 Срок на изплащане (РО) и вътрешна норма на възвръщаемост (IRR) </w:t>
      </w:r>
    </w:p>
    <w:p w:rsidR="007F7D52" w:rsidRPr="007F7D52" w:rsidRDefault="007F7D52" w:rsidP="007F7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Срокът на изплащане представлява реалното време, което е необходимо за възвръщане на инвестицията, т.е. времето, което е необходимо нетната сегашна стойност да стане равна на 0 (NPV = 0), като се отчита реалният лихвен процент:</w:t>
      </w:r>
    </w:p>
    <w:p w:rsidR="007F7D52" w:rsidRPr="007F7D52" w:rsidRDefault="007F7D52" w:rsidP="007F7D52">
      <w:pPr>
        <w:spacing w:after="0" w:line="360" w:lineRule="auto"/>
        <w:ind w:left="2268" w:firstLine="6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7F7D52"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bg-BG"/>
        </w:rPr>
        <w:drawing>
          <wp:inline distT="0" distB="0" distL="0" distR="0" wp14:anchorId="67B8C934" wp14:editId="370BB738">
            <wp:extent cx="1835150" cy="463550"/>
            <wp:effectExtent l="0" t="0" r="0" b="0"/>
            <wp:docPr id="48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2" w:rsidRDefault="007F7D52" w:rsidP="00572634">
      <w:pPr>
        <w:spacing w:after="0" w:line="360" w:lineRule="auto"/>
        <w:ind w:firstLine="720"/>
        <w:jc w:val="both"/>
      </w:pPr>
      <w:r w:rsidRPr="007F7D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Вътрешната норма на възвръщаемост IRR е онази стойност на реалния лихвен процент, при която NPV = 0.</w:t>
      </w:r>
    </w:p>
    <w:sectPr w:rsidR="007F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52"/>
    <w:rsid w:val="00394C33"/>
    <w:rsid w:val="00572634"/>
    <w:rsid w:val="00766B07"/>
    <w:rsid w:val="007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94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9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5" Type="http://schemas.openxmlformats.org/officeDocument/2006/relationships/image" Target="media/image1.wmf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LYUBOMIROVA TOMOVA</dc:creator>
  <cp:keywords/>
  <dc:description/>
  <cp:lastModifiedBy>Марги</cp:lastModifiedBy>
  <cp:revision>2</cp:revision>
  <dcterms:created xsi:type="dcterms:W3CDTF">2022-10-21T11:15:00Z</dcterms:created>
  <dcterms:modified xsi:type="dcterms:W3CDTF">2022-10-23T08:03:00Z</dcterms:modified>
</cp:coreProperties>
</file>